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211F" w:rsidRPr="00E35A0E" w:rsidRDefault="00E35A0E" w:rsidP="00E35A0E">
      <w:pPr>
        <w:spacing w:before="0" w:after="0"/>
        <w:jc w:val="center"/>
        <w:rPr>
          <w:b/>
          <w:bCs/>
          <w:sz w:val="27"/>
          <w:szCs w:val="27"/>
        </w:rPr>
      </w:pPr>
      <w:bookmarkStart w:id="0" w:name="_GoBack"/>
      <w:bookmarkEnd w:id="0"/>
      <w:r w:rsidRPr="00E35A0E">
        <w:rPr>
          <w:b/>
          <w:bCs/>
          <w:sz w:val="27"/>
          <w:szCs w:val="27"/>
        </w:rPr>
        <w:t xml:space="preserve">ПРОЕКТ </w:t>
      </w:r>
    </w:p>
    <w:p w:rsidR="008F211F" w:rsidRPr="00E35A0E" w:rsidRDefault="00E35A0E">
      <w:pPr>
        <w:spacing w:before="0" w:after="0"/>
        <w:jc w:val="center"/>
        <w:rPr>
          <w:b/>
          <w:bCs/>
          <w:sz w:val="27"/>
          <w:szCs w:val="27"/>
        </w:rPr>
      </w:pPr>
      <w:r w:rsidRPr="00E35A0E">
        <w:rPr>
          <w:b/>
          <w:bCs/>
          <w:sz w:val="27"/>
          <w:szCs w:val="27"/>
        </w:rPr>
        <w:t>предоставления и распределения субсидий местным бюджетам на реализацию отдельных мероприятий государственной программы Новосибирской области «Развитие государственной молодежной политики Новосибирской области»</w:t>
      </w:r>
    </w:p>
    <w:p w:rsidR="008F211F" w:rsidRDefault="008F211F">
      <w:pPr>
        <w:spacing w:before="0" w:after="0"/>
        <w:jc w:val="center"/>
        <w:rPr>
          <w:sz w:val="28"/>
          <w:szCs w:val="28"/>
        </w:rPr>
      </w:pPr>
    </w:p>
    <w:p w:rsidR="008F211F" w:rsidRDefault="00E35A0E">
      <w:pPr>
        <w:pStyle w:val="af6"/>
        <w:spacing w:before="0" w:after="0"/>
        <w:ind w:left="0" w:firstLine="851"/>
        <w:jc w:val="both"/>
        <w:rPr>
          <w:sz w:val="28"/>
        </w:rPr>
      </w:pPr>
      <w:r>
        <w:rPr>
          <w:sz w:val="28"/>
        </w:rPr>
        <w:t>1. Настоящий Порядок предоставления и распределения субсидий местным бюджетам на реализацию отдельных мероприятий государственной программы Новосибирской области «Развитие государственной молодежной политики Новосибирской области» (далее – Порядок) регламентирует предоставление и расходование субсидий местным бюджетам муниципальных образований (далее – местные бюджеты) из областного бюджета Новосибирской области (далее – областной бюджет) на реализацию отдельных мероприятий государственной программы Новосибирской области «Развитие государственной молодежной политики Новосибирской области» (далее – субсидии).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2. Целью предоставления субсидий является выполнение следующих мероприятий государственной программы Новосибирской области «Развитие государственной молодежной политики Новосибирской области»: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1) реализация муниципальных проектов (программ) по совершенствованию системы поддержки молодежных инициатив в Новосибирской области (далее - муниципальный проект) по направлениям;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2) создание и оснащение муниципальных ресурсных центров развития и поддержки молодежных инициатив комплектами современного оборудования;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3) организация и проведение мероприятий, направленных на выявление, развитие молодежных инициатив и поддержку молодежи;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4) проведение ремонтных работ в зданиях и сооружениях муниципальных учреждений Новосибирской области сферы молодежной политики, а также оснащение их необходимым оборудованием и инвентарем, благоустройство территорий, прилегающих к муниципальным учреждениям Новосибирской области сферы молодежной политики;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5) разработка проектно-сметной документации на проведение ремонтных работ зданий муниципальных учреждений Новосибирской области сферы молодежной политики.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3. Конкурс проводится по следующим направлениям:</w:t>
      </w:r>
    </w:p>
    <w:p w:rsidR="008F211F" w:rsidRDefault="00E35A0E">
      <w:pPr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sz w:val="28"/>
        </w:rPr>
        <w:t>1)</w:t>
      </w:r>
      <w:r>
        <w:rPr>
          <w:bCs/>
          <w:sz w:val="28"/>
          <w:szCs w:val="28"/>
        </w:rPr>
        <w:t xml:space="preserve"> Региональный инфраструктурный проект «Открытые пространства»;</w:t>
      </w:r>
    </w:p>
    <w:p w:rsidR="008F211F" w:rsidRDefault="00E35A0E">
      <w:pPr>
        <w:spacing w:before="0" w:after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2) Региональный проект «Знак качества деятельности молодежных центров, расположенных в Новосибирской области»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bCs/>
          <w:sz w:val="28"/>
          <w:szCs w:val="28"/>
        </w:rPr>
        <w:t>3) Региональный проект по установке элементов инфраструктуры для занятий экстремальными видами спорта на территории муниципальных образований Новосибирской области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4. Субсидии предоставляются в пределах бюджетных ассигнований и лимитов бюджетных обязательств, установленных главному распорядителю бюджетных средств – департаменту молодежной политики Новосибирской области (далее – ГРБС) в соответствии с законом Новосибирской области об областном бюджете Новосибирской области на соответствующий текущий финансовый год и плановый период на реализацию данного направления расходов.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lastRenderedPageBreak/>
        <w:t xml:space="preserve">5. Предельный уровень </w:t>
      </w:r>
      <w:proofErr w:type="spellStart"/>
      <w:r>
        <w:rPr>
          <w:sz w:val="28"/>
        </w:rPr>
        <w:t>софинансирования</w:t>
      </w:r>
      <w:proofErr w:type="spellEnd"/>
      <w:r>
        <w:rPr>
          <w:sz w:val="28"/>
        </w:rPr>
        <w:t xml:space="preserve"> расходных обязательств муниципального образования, в целях </w:t>
      </w:r>
      <w:proofErr w:type="spellStart"/>
      <w:r>
        <w:rPr>
          <w:sz w:val="28"/>
        </w:rPr>
        <w:t>софинансирования</w:t>
      </w:r>
      <w:proofErr w:type="spellEnd"/>
      <w:r>
        <w:rPr>
          <w:sz w:val="28"/>
        </w:rPr>
        <w:t xml:space="preserve"> которых предоставляется субсидия, устанавливается распоряжением Правительства Новосибирской области на очередной финансовый год и плановый период для каждого муниципального района, муниципального и городского округа.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 xml:space="preserve">6. Субсидии распределяются на основании результатов конкурсного отбора на </w:t>
      </w:r>
      <w:proofErr w:type="spellStart"/>
      <w:r>
        <w:rPr>
          <w:sz w:val="28"/>
        </w:rPr>
        <w:t>софинансирование</w:t>
      </w:r>
      <w:proofErr w:type="spellEnd"/>
      <w:r>
        <w:rPr>
          <w:sz w:val="28"/>
        </w:rPr>
        <w:t xml:space="preserve"> мероприятий муниципальных образований Новосибирской области, направленных на достижение цели, указанной в пункте 2 Порядка, в соответствии с порядком отбора, установленным ГРБС приказом департамента молодежной политики Новосибирской области, утверждаемым ежегодно и размещаемым на официальном сайте.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7. В целях рассмотрения конкурсных материалов и определения победителей конкурсного отбора приказом департамента молодежной политики Новосибирской области создается комиссия по проведению конкурсного отбора (далее - приказ, комиссия).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Приказом утверждаются порядок работы комиссии и ее состав.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 xml:space="preserve">8. Муниципальные проекты, представленные на конкурс, оцениваются по критериям, включенным в оценочный лист конкурсных материалов. По каждому критерию, указанному в оценочном листе, выставляется оценка по </w:t>
      </w:r>
      <w:proofErr w:type="spellStart"/>
      <w:r>
        <w:rPr>
          <w:sz w:val="28"/>
        </w:rPr>
        <w:t>трехбальной</w:t>
      </w:r>
      <w:proofErr w:type="spellEnd"/>
      <w:r>
        <w:rPr>
          <w:sz w:val="28"/>
        </w:rPr>
        <w:t xml:space="preserve"> шкале с последующим подсчетом суммы баллов: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0 - нет в наличии;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1 - имеется в наличии, но полностью не раскрыто содержание деятельности;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2 - данное направление работы реализуется полностью.</w:t>
      </w:r>
    </w:p>
    <w:p w:rsidR="008F211F" w:rsidRDefault="00E35A0E">
      <w:pPr>
        <w:spacing w:before="0" w:after="0"/>
        <w:ind w:firstLine="709"/>
        <w:contextualSpacing/>
        <w:jc w:val="both"/>
        <w:rPr>
          <w:sz w:val="28"/>
        </w:rPr>
      </w:pPr>
      <w:r>
        <w:rPr>
          <w:sz w:val="28"/>
        </w:rPr>
        <w:t>На основе оценочных листов конкурсная комиссия по проведению конкурсного отбора формирует рейтинг муниципальных проектов. Победители определяются из участников, набравших наибольшую сумму баллов по каждому направлению.</w:t>
      </w:r>
    </w:p>
    <w:p w:rsidR="00E35A0E" w:rsidRDefault="00E35A0E">
      <w:pPr>
        <w:spacing w:before="0" w:after="0"/>
        <w:contextualSpacing/>
        <w:jc w:val="center"/>
        <w:rPr>
          <w:b/>
          <w:bCs/>
          <w:sz w:val="28"/>
          <w:szCs w:val="28"/>
        </w:rPr>
      </w:pPr>
    </w:p>
    <w:p w:rsidR="008F211F" w:rsidRDefault="00E35A0E">
      <w:pPr>
        <w:spacing w:before="0" w:after="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Региональный инфраструктурный проект «Открытые пространства»</w:t>
      </w:r>
    </w:p>
    <w:p w:rsidR="008F211F" w:rsidRDefault="008F211F">
      <w:pPr>
        <w:spacing w:before="0" w:after="0"/>
        <w:ind w:firstLine="567"/>
        <w:contextualSpacing/>
        <w:jc w:val="both"/>
        <w:rPr>
          <w:sz w:val="28"/>
          <w:szCs w:val="28"/>
        </w:rPr>
      </w:pPr>
    </w:p>
    <w:p w:rsidR="008F211F" w:rsidRDefault="00E35A0E">
      <w:pPr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Победителями определяются </w:t>
      </w:r>
      <w:r>
        <w:rPr>
          <w:sz w:val="28"/>
        </w:rPr>
        <w:t>муниципальные проекты</w:t>
      </w:r>
      <w:r>
        <w:rPr>
          <w:sz w:val="28"/>
          <w:szCs w:val="28"/>
        </w:rPr>
        <w:t xml:space="preserve">, </w:t>
      </w:r>
      <w:r>
        <w:rPr>
          <w:sz w:val="28"/>
        </w:rPr>
        <w:t xml:space="preserve">набравшие согласно критериям, </w:t>
      </w:r>
      <w:r>
        <w:rPr>
          <w:sz w:val="28"/>
          <w:szCs w:val="28"/>
        </w:rPr>
        <w:t xml:space="preserve">свыше 100 баллов и занявшие три первых места в сводном рейтинге согласно критериям оценки. </w:t>
      </w:r>
    </w:p>
    <w:p w:rsidR="008F211F" w:rsidRDefault="00E35A0E">
      <w:pPr>
        <w:spacing w:before="0" w:after="0"/>
        <w:ind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Распределение субсидии для проведения мероприятий, направленных на обеспечение культурного, нравственного, духовного, интеллектуального и творческого развития молодежи на территории Новосибирской области исходя из набранных баллов: </w:t>
      </w:r>
    </w:p>
    <w:p w:rsidR="008F211F" w:rsidRDefault="00E35A0E">
      <w:pPr>
        <w:pStyle w:val="afb"/>
        <w:ind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-157 баллов и более - 1 500 000,00 рублей;</w:t>
      </w:r>
    </w:p>
    <w:p w:rsidR="008F211F" w:rsidRDefault="00E35A0E">
      <w:pPr>
        <w:pStyle w:val="afb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 xml:space="preserve">                 - от 150 до 156 баллов - 500 000 рублей.</w:t>
      </w:r>
    </w:p>
    <w:p w:rsidR="008F211F" w:rsidRDefault="008F211F">
      <w:pPr>
        <w:pStyle w:val="afb"/>
        <w:ind w:firstLine="113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F211F" w:rsidRDefault="00E35A0E">
      <w:pPr>
        <w:pStyle w:val="afb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Региональный проект </w:t>
      </w:r>
      <w:r>
        <w:rPr>
          <w:rFonts w:ascii="Times New Roman" w:hAnsi="Times New Roman" w:cs="Times New Roman"/>
          <w:b/>
          <w:bCs/>
          <w:sz w:val="28"/>
          <w:szCs w:val="28"/>
        </w:rPr>
        <w:t>«Знак качества деятельности молодежных центров, расположенных в Новосибирской области»</w:t>
      </w:r>
    </w:p>
    <w:p w:rsidR="008F211F" w:rsidRDefault="008F211F">
      <w:pPr>
        <w:pStyle w:val="afb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211F" w:rsidRDefault="00E35A0E">
      <w:pPr>
        <w:pStyle w:val="afb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Распределение субсидии для проведения мероприятий, направленных на методическое и кадровое обеспечение молодежной политики Новосибирской области исходя из набранных баллов:</w:t>
      </w:r>
    </w:p>
    <w:p w:rsidR="008F211F" w:rsidRDefault="00E35A0E">
      <w:pPr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-победителями и получателями субсидии в размере 500 000,00 рублей определяются   </w:t>
      </w:r>
      <w:r>
        <w:rPr>
          <w:sz w:val="28"/>
        </w:rPr>
        <w:t>муниципальные</w:t>
      </w:r>
      <w:r>
        <w:rPr>
          <w:sz w:val="28"/>
          <w:szCs w:val="28"/>
        </w:rPr>
        <w:t xml:space="preserve"> проекты, набравшие более 350 баллов и занявшие </w:t>
      </w:r>
      <w:r>
        <w:rPr>
          <w:sz w:val="28"/>
          <w:szCs w:val="28"/>
        </w:rPr>
        <w:lastRenderedPageBreak/>
        <w:t xml:space="preserve">три первых места в сводном рейтинге муниципальных проектов согласно критериям оценки. </w:t>
      </w:r>
    </w:p>
    <w:p w:rsidR="008F211F" w:rsidRDefault="008F211F">
      <w:pPr>
        <w:spacing w:before="0" w:after="0"/>
        <w:ind w:firstLine="709"/>
        <w:contextualSpacing/>
        <w:jc w:val="both"/>
        <w:rPr>
          <w:sz w:val="28"/>
          <w:szCs w:val="28"/>
        </w:rPr>
      </w:pPr>
    </w:p>
    <w:p w:rsidR="008F211F" w:rsidRDefault="00E35A0E">
      <w:pPr>
        <w:spacing w:before="0" w:after="0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Региональный проект по установке элементов инфраструктуры для занятий экстремальными видами спорта на территории муниципальных образований Новосибирской области</w:t>
      </w:r>
    </w:p>
    <w:p w:rsidR="008F211F" w:rsidRDefault="008F211F">
      <w:pPr>
        <w:spacing w:before="0" w:after="0"/>
        <w:contextualSpacing/>
        <w:jc w:val="center"/>
        <w:rPr>
          <w:b/>
          <w:bCs/>
          <w:sz w:val="28"/>
          <w:szCs w:val="28"/>
        </w:rPr>
      </w:pPr>
    </w:p>
    <w:p w:rsidR="008F211F" w:rsidRDefault="00E35A0E">
      <w:pPr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конкурсу допускаются участники, </w:t>
      </w:r>
      <w:proofErr w:type="gramStart"/>
      <w:r>
        <w:rPr>
          <w:sz w:val="28"/>
          <w:szCs w:val="28"/>
        </w:rPr>
        <w:t xml:space="preserve">предоставившие </w:t>
      </w:r>
      <w:r>
        <w:rPr>
          <w:sz w:val="28"/>
        </w:rPr>
        <w:t xml:space="preserve"> муниципальные</w:t>
      </w:r>
      <w:proofErr w:type="gramEnd"/>
      <w:r>
        <w:rPr>
          <w:sz w:val="28"/>
        </w:rPr>
        <w:t xml:space="preserve"> проекты, содержащие </w:t>
      </w:r>
      <w:r>
        <w:rPr>
          <w:sz w:val="28"/>
          <w:szCs w:val="28"/>
        </w:rPr>
        <w:t>сметную документацию на установку элементов инфраструктуры для занятий экстремальными видами спорта на территории муниципального образования на сумму не более 900 000,00 рублей.</w:t>
      </w:r>
    </w:p>
    <w:p w:rsidR="008F211F" w:rsidRDefault="00E35A0E">
      <w:pPr>
        <w:spacing w:before="0" w:after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Распределение субсидии для проведения мероприятий, направленных на пропаганду здорового образа жизни и профилактику асоциальных проявлений,</w:t>
      </w:r>
      <w:r w:rsidR="00716A3F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правонарушений в молодежной среде Новосибирской области исходя из набранных баллов:</w:t>
      </w:r>
    </w:p>
    <w:p w:rsidR="008F211F" w:rsidRDefault="00E35A0E">
      <w:pPr>
        <w:spacing w:before="0" w:after="0"/>
        <w:ind w:hanging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- победителями и получателями субсидии   определяются </w:t>
      </w:r>
      <w:r>
        <w:rPr>
          <w:sz w:val="28"/>
        </w:rPr>
        <w:t>муниципальные проекты</w:t>
      </w:r>
      <w:r>
        <w:rPr>
          <w:sz w:val="28"/>
          <w:szCs w:val="28"/>
        </w:rPr>
        <w:t xml:space="preserve">, набравшие от 40 до 60 баллов и занявшие шесть первых мест в сводном рейтинге муниципальных проектов согласно критериям оценки. Субсидия победителям выделяется согласно заявленной сметной документации. </w:t>
      </w:r>
    </w:p>
    <w:p w:rsidR="008F211F" w:rsidRDefault="00E35A0E">
      <w:pPr>
        <w:spacing w:before="0" w:after="0"/>
        <w:ind w:firstLine="709"/>
        <w:contextualSpacing/>
        <w:jc w:val="both"/>
        <w:rPr>
          <w:sz w:val="28"/>
        </w:rPr>
      </w:pPr>
      <w:r>
        <w:rPr>
          <w:sz w:val="28"/>
        </w:rPr>
        <w:t>Муниципальные образования, которым ранее предоставлялась субсидия, к участию в конкурсном отборе не допускаются.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8. Критериями конкурсного отбора муниципальных образований Новосибирской области (далее - получатель) для предоставления субсидий на реализацию муниципальных проектов являются: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1) наличие муниципальных проектов, утвержденных получателем;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2) доля вовлеченной молодежи от общего числа молодежи, принимающих участие в них от получателя;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3) воспроизводимость муниципальных проектов (возможность массового использования);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4) контролируемость (наличие промежуточных и итоговых форм контроля);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5) количество мероприятий, направленных на повышение качества реализации молодежной политики;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 xml:space="preserve">6) </w:t>
      </w:r>
      <w:proofErr w:type="spellStart"/>
      <w:r>
        <w:rPr>
          <w:sz w:val="28"/>
        </w:rPr>
        <w:t>структурируемость</w:t>
      </w:r>
      <w:proofErr w:type="spellEnd"/>
      <w:r>
        <w:rPr>
          <w:sz w:val="28"/>
        </w:rPr>
        <w:t xml:space="preserve"> представленных материалов (целостность, логичность, последовательность в представлении материалов муниципальных проектов);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7) наличие самостоятельной инфраструктуры и укомплектованности материально-технической базы организации.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 xml:space="preserve">9. Основанием для предоставления субсидии является заключаемое между ГРБС и получателем соглашение о предоставлении субсидии, предусматривающее обязательство получателя по исполнению расходных обязательств, в целях </w:t>
      </w:r>
      <w:proofErr w:type="spellStart"/>
      <w:r>
        <w:rPr>
          <w:sz w:val="28"/>
        </w:rPr>
        <w:t>софинансирования</w:t>
      </w:r>
      <w:proofErr w:type="spellEnd"/>
      <w:r>
        <w:rPr>
          <w:sz w:val="28"/>
        </w:rPr>
        <w:t xml:space="preserve"> которых предоставляется субсидия, и ответственность за неисполнение предусмотренных указанным соглашением обязательств, в соответствии с типовыми формами, утверждаемыми министерством финансов и налоговой политики Новосибирской области (далее - соглашение).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Соглашение должно содержать положения, указанные в пункте 8 Правил формирования, предоставления и распределения субсидий из областного бюджета Новосибирской области бюджетам муниципальных образований Новосибирской области, установленных постановлением Правительства Новосибирской области от 03.03.2020 № 40-п.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lastRenderedPageBreak/>
        <w:t>10. Условиями предоставления субсидии на реализацию муниципальных проектов являются: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1) наличие муниципального правового акта, устанавливающего расходное обязательство муниципального образования по реализации мероприятий муниципального проекта;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2) централизация закупок товаров, работ, услуг, финансовое обеспечение которых частично или полностью осуществляется за счет средств субсидии, в соответствии с пунктом 1 и подпунктом 2 пункта 4 постановления Правительства Новосибирской области от 30.12.2013 № 597-п «О наделении полномочиями государственного казенного учреждения Новосибирской области «Управление контрактной системы»;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3) наличие в местном бюджете неиспользованного остатка субсидий, предоставленных ранее на аналогичные цели, в размере, не превышающем 5% объема субсидий, запланированных к предоставлению в соответствующем финансовом году, либо его полное отсутствие;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 xml:space="preserve">4) наличие правовых актов муниципальных образований, утверждающих порядок использования средств местного бюджета, требования о принятии которых установлены бюджетным законодательством Российской Федерации и нормативными правовыми актами, регулирующими бюджетные правоотношения (в случае если указанные расходные обязательства </w:t>
      </w:r>
      <w:proofErr w:type="spellStart"/>
      <w:r>
        <w:rPr>
          <w:sz w:val="28"/>
        </w:rPr>
        <w:t>софинансируются</w:t>
      </w:r>
      <w:proofErr w:type="spellEnd"/>
      <w:r>
        <w:rPr>
          <w:sz w:val="28"/>
        </w:rPr>
        <w:t xml:space="preserve"> за счет средств субсидий и предусматривают предоставление из местных бюджетов межбюджетных трансфертов бюджетам городских и сельских поселений Новосибирской области,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услуг, прочих субсидий юридическим лицам);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5) заключение соглашений на срок, соответствующий сроку распределения субсидий между местными бюджетами.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11. Основанием для отказа в предоставлении субсидии является неисполнение условий предоставления субсидии, предусмотренных пунктом 10 Порядка.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12. В случае нарушения получателем условий предоставления субсидии, установленных пунктом 10 Порядка, ГРБС в течение 10 рабочих дней со дня выявления нарушения направляет получателю уведомление об отказе в предоставлении субсидии с указанием оснований для отказа.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 xml:space="preserve">13. В случае если объем бюджетных ассигнований, предусмотренных в местном бюджете муниципального образования на </w:t>
      </w:r>
      <w:proofErr w:type="spellStart"/>
      <w:r>
        <w:rPr>
          <w:sz w:val="28"/>
        </w:rPr>
        <w:t>софинансирование</w:t>
      </w:r>
      <w:proofErr w:type="spellEnd"/>
      <w:r>
        <w:rPr>
          <w:sz w:val="28"/>
        </w:rPr>
        <w:t xml:space="preserve"> реализации мероприятия, ниже 5% от суммы, направляемой на реализацию мероприятия за счет средств областного бюджета, размер субсидии, предоставляемой местному бюджету, подлежит сокращению пропорционально снижению объема </w:t>
      </w:r>
      <w:proofErr w:type="spellStart"/>
      <w:r>
        <w:rPr>
          <w:sz w:val="28"/>
        </w:rPr>
        <w:t>софинансирования</w:t>
      </w:r>
      <w:proofErr w:type="spellEnd"/>
      <w:r>
        <w:rPr>
          <w:sz w:val="28"/>
        </w:rPr>
        <w:t xml:space="preserve"> за счет средств местного бюджета.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14. Субсидии перечисляются ГРБС на счета органов местного самоуправления, открытые в территориальных органах Федерального казначейства, в соответствии с графиками финансирования, утвержденными соглашениями, заключенными между ГРБС и органами местного самоуправления.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15. Субсидии расходуются получателями при выполнении следующих условий: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1) соблюдение условий соглашений;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lastRenderedPageBreak/>
        <w:t>2) осуществление расходов производится со счетов органов местного самоуправления или с лицевых счетов муниципальных учреждений, уполномоченных органами местного самоуправления, на основании контрактов, заключенных в соответствии с Федеральным законом от 05.04.2013 № 44-ФЗ                 «О контрактной системе в сфере закупок товаров, работ, услуг для обеспечения государственных и муниципальных нужд», актов выполненных работ, счетов-фактур;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3) осуществление расходов в форме предоставления субсидий муниципальным бюджетным или автономным учреждениям производится в соответствии с порядком определения объема и условий предоставления субсидий из местного бюджета, установленным органом местного самоуправления.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16. Порядок оценки эффективности использования субсидии: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 xml:space="preserve">оценка эффективности использования субсидии осуществляется ГРБС на основе отчета о достижении </w:t>
      </w:r>
      <w:proofErr w:type="gramStart"/>
      <w:r>
        <w:rPr>
          <w:sz w:val="28"/>
        </w:rPr>
        <w:t>показателей результатов использования субсидии</w:t>
      </w:r>
      <w:proofErr w:type="gramEnd"/>
      <w:r>
        <w:rPr>
          <w:sz w:val="28"/>
        </w:rPr>
        <w:t xml:space="preserve"> представляемого получателем в сроки, предусмотренные соглашением.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Критерием оценки эффективности использования субсидии является достижение показателей результатов использования субсидии, предусмотренных соглашением: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доля молодых людей, участвующих в общественно-политических проектах;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доля молодых людей, участвующих в мероприятиях, направленных на трудовое воспитание молодежи Новосибирской области;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доля молодых людей, участвующих в мероприятиях, направленных на обеспечение культурного, нравственного, духовного, интеллектуального и творческого развития молодежи;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доля молодых людей, участвующих в мероприятиях, направленных на пропаганду здорового образа жизни и профилактику асоциальных проявлений, в том числе правонарушений в молодежной среде;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доля молодых людей, вовлеченных в добровольческую и общественную деятельность;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доля молодых людей, проинформированных о деятельности в сфере молодежной политики Новосибирской области в рамках реализации государственной программы.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17. В течение 30 календарных дней с момента представления получателем отчета о достижении показателей результатов использования субсидии ГРБС готовит информацию о достижении (недостижении) получателем субсидии результатов, указанных в соглашении.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18. В случае если в отчетном финансовом году получателем не достигнуто предусмотренное соглашением значение показателей результатов использования субсидии, средства субсидии подлежат возврату в областной бюджет в соответствии с бюджетным законодательством Российской Федерации и Новосибирской области.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Порядок расчета объема средств, подлежащих возврату из местного бюджета в областной бюджет Новосибирской области, в объеме субсидии, предоставленной местному бюджету в отчетном финансовом году, установлен в Правилах формирования, предоставления и распределения субсидий из областного бюджета Новосибирской области бюджетам муниципальных образований Новосибирской области, установленных постановлением Правительства Новосибирской области от 03.03.2020 № 40-п.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lastRenderedPageBreak/>
        <w:t>19. Органы местного самоуправления представляют отчеты о целевом использовании полученных субсидий в порядке, сроки и по форме, предусмотренные соглашениями.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20. Органы местного самоуправления несут ответственность за недостижение результатов предоставления субсидии в соответствии с соглашением.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21. Органы местного самоуправления несут ответственность за нецелевое использование средств областного бюджета в соответствии с бюджетным законодательством Российской Федерации.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22. Субсидии, полученные и не использованные в текущем финансовом году, подлежат возврату в областной бюджет и при наличии потребности в них используются в соответствии с бюджетным законодательством в очередном финансовом году на те же цели.</w:t>
      </w:r>
    </w:p>
    <w:p w:rsidR="008F211F" w:rsidRDefault="00E35A0E">
      <w:pPr>
        <w:spacing w:before="0" w:after="0"/>
        <w:ind w:firstLine="709"/>
        <w:jc w:val="both"/>
        <w:rPr>
          <w:sz w:val="28"/>
        </w:rPr>
      </w:pPr>
      <w:r>
        <w:rPr>
          <w:sz w:val="28"/>
        </w:rPr>
        <w:t>23. ГРБС и орган государственного финансового контроля осуществляют обязательную проверку соблюдения условий, целей и порядка предоставления субсидий их получателями.</w:t>
      </w:r>
    </w:p>
    <w:p w:rsidR="008F211F" w:rsidRDefault="00E35A0E">
      <w:pPr>
        <w:spacing w:before="0" w:after="0"/>
        <w:ind w:firstLine="709"/>
        <w:jc w:val="both"/>
        <w:rPr>
          <w:sz w:val="28"/>
          <w:szCs w:val="28"/>
        </w:rPr>
      </w:pPr>
      <w:r>
        <w:rPr>
          <w:sz w:val="28"/>
        </w:rPr>
        <w:t>24. Контроль за целевым использованием субсидий осуществляется ГРБС и органами государственного финансового контроля Новосибирской области в соответствии с бюджетным законодательством Российской Федерации.</w:t>
      </w:r>
    </w:p>
    <w:p w:rsidR="008F211F" w:rsidRDefault="008F211F">
      <w:pPr>
        <w:spacing w:before="0" w:after="0"/>
        <w:ind w:firstLine="709"/>
        <w:jc w:val="both"/>
        <w:rPr>
          <w:sz w:val="28"/>
          <w:szCs w:val="28"/>
        </w:rPr>
      </w:pPr>
    </w:p>
    <w:p w:rsidR="008F211F" w:rsidRDefault="008F211F">
      <w:pPr>
        <w:spacing w:before="0" w:after="0"/>
        <w:ind w:firstLine="709"/>
        <w:jc w:val="both"/>
        <w:rPr>
          <w:sz w:val="28"/>
          <w:szCs w:val="28"/>
        </w:rPr>
      </w:pPr>
    </w:p>
    <w:p w:rsidR="008F211F" w:rsidRDefault="008F211F">
      <w:pPr>
        <w:spacing w:before="0" w:after="0"/>
        <w:ind w:firstLine="709"/>
        <w:jc w:val="both"/>
        <w:rPr>
          <w:sz w:val="28"/>
          <w:szCs w:val="28"/>
        </w:rPr>
      </w:pPr>
    </w:p>
    <w:p w:rsidR="008F211F" w:rsidRDefault="008F211F">
      <w:pPr>
        <w:spacing w:before="0" w:after="0"/>
        <w:jc w:val="both"/>
        <w:rPr>
          <w:sz w:val="28"/>
          <w:szCs w:val="28"/>
        </w:rPr>
      </w:pPr>
    </w:p>
    <w:p w:rsidR="008F211F" w:rsidRDefault="008F211F">
      <w:pPr>
        <w:spacing w:before="0" w:after="0"/>
        <w:jc w:val="both"/>
        <w:rPr>
          <w:sz w:val="28"/>
          <w:szCs w:val="28"/>
        </w:rPr>
      </w:pPr>
    </w:p>
    <w:p w:rsidR="008F211F" w:rsidRDefault="00E35A0E">
      <w:pPr>
        <w:spacing w:before="0" w:after="0"/>
        <w:jc w:val="both"/>
        <w:rPr>
          <w:sz w:val="28"/>
          <w:szCs w:val="28"/>
        </w:rPr>
      </w:pPr>
      <w:r>
        <w:rPr>
          <w:bCs/>
          <w:sz w:val="28"/>
        </w:rPr>
        <w:t xml:space="preserve">Руководитель                                                                                                  </w:t>
      </w:r>
      <w:proofErr w:type="spellStart"/>
      <w:r>
        <w:rPr>
          <w:bCs/>
          <w:sz w:val="28"/>
        </w:rPr>
        <w:t>В.В.Носков</w:t>
      </w:r>
      <w:proofErr w:type="spellEnd"/>
    </w:p>
    <w:p w:rsidR="008F211F" w:rsidRDefault="008F211F">
      <w:pPr>
        <w:spacing w:before="0" w:after="0"/>
        <w:rPr>
          <w:bCs/>
          <w:sz w:val="28"/>
        </w:rPr>
      </w:pPr>
    </w:p>
    <w:p w:rsidR="008F211F" w:rsidRDefault="008F211F"/>
    <w:sectPr w:rsidR="008F211F" w:rsidSect="00E35A0E">
      <w:headerReference w:type="first" r:id="rId8"/>
      <w:pgSz w:w="11906" w:h="16838"/>
      <w:pgMar w:top="426" w:right="567" w:bottom="851" w:left="1418" w:header="709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211F" w:rsidRDefault="00E35A0E">
      <w:pPr>
        <w:spacing w:before="0" w:after="0"/>
      </w:pPr>
      <w:r>
        <w:separator/>
      </w:r>
    </w:p>
  </w:endnote>
  <w:endnote w:type="continuationSeparator" w:id="0">
    <w:p w:rsidR="008F211F" w:rsidRDefault="00E35A0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211F" w:rsidRDefault="00E35A0E">
      <w:pPr>
        <w:spacing w:before="0" w:after="0"/>
      </w:pPr>
      <w:r>
        <w:separator/>
      </w:r>
    </w:p>
  </w:footnote>
  <w:footnote w:type="continuationSeparator" w:id="0">
    <w:p w:rsidR="008F211F" w:rsidRDefault="00E35A0E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</w:rPr>
      <w:id w:val="-28488409"/>
      <w:docPartObj>
        <w:docPartGallery w:val="Page Numbers (Top of Page)"/>
        <w:docPartUnique/>
      </w:docPartObj>
    </w:sdtPr>
    <w:sdtEndPr/>
    <w:sdtContent>
      <w:p w:rsidR="008F211F" w:rsidRPr="00E35A0E" w:rsidRDefault="00E35A0E" w:rsidP="00E35A0E">
        <w:pPr>
          <w:pStyle w:val="af4"/>
          <w:jc w:val="right"/>
          <w:rPr>
            <w:b/>
            <w:sz w:val="20"/>
          </w:rPr>
        </w:pPr>
        <w:r>
          <w:rPr>
            <w:b/>
            <w:sz w:val="20"/>
          </w:rPr>
          <w:t>ПРОЕКТ</w:t>
        </w:r>
      </w:p>
    </w:sdtContent>
  </w:sdt>
  <w:p w:rsidR="008F211F" w:rsidRDefault="008F211F">
    <w:pPr>
      <w:pStyle w:val="a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816E02"/>
    <w:multiLevelType w:val="hybridMultilevel"/>
    <w:tmpl w:val="2490FCCC"/>
    <w:lvl w:ilvl="0" w:tplc="B9FA2918">
      <w:start w:val="1"/>
      <w:numFmt w:val="bullet"/>
      <w:lvlText w:val="–"/>
      <w:lvlJc w:val="left"/>
      <w:pPr>
        <w:ind w:left="1418" w:hanging="360"/>
      </w:pPr>
      <w:rPr>
        <w:rFonts w:ascii="Arial" w:eastAsia="Arial" w:hAnsi="Arial" w:cs="Arial" w:hint="default"/>
      </w:rPr>
    </w:lvl>
    <w:lvl w:ilvl="1" w:tplc="F2E6279C">
      <w:start w:val="1"/>
      <w:numFmt w:val="bullet"/>
      <w:lvlText w:val="o"/>
      <w:lvlJc w:val="left"/>
      <w:pPr>
        <w:ind w:left="2138" w:hanging="360"/>
      </w:pPr>
      <w:rPr>
        <w:rFonts w:ascii="Courier New" w:eastAsia="Courier New" w:hAnsi="Courier New" w:cs="Courier New" w:hint="default"/>
      </w:rPr>
    </w:lvl>
    <w:lvl w:ilvl="2" w:tplc="002CE2C6">
      <w:start w:val="1"/>
      <w:numFmt w:val="bullet"/>
      <w:lvlText w:val="§"/>
      <w:lvlJc w:val="left"/>
      <w:pPr>
        <w:ind w:left="2858" w:hanging="360"/>
      </w:pPr>
      <w:rPr>
        <w:rFonts w:ascii="Wingdings" w:eastAsia="Wingdings" w:hAnsi="Wingdings" w:cs="Wingdings" w:hint="default"/>
      </w:rPr>
    </w:lvl>
    <w:lvl w:ilvl="3" w:tplc="655871D6">
      <w:start w:val="1"/>
      <w:numFmt w:val="bullet"/>
      <w:lvlText w:val="·"/>
      <w:lvlJc w:val="left"/>
      <w:pPr>
        <w:ind w:left="3578" w:hanging="360"/>
      </w:pPr>
      <w:rPr>
        <w:rFonts w:ascii="Symbol" w:eastAsia="Symbol" w:hAnsi="Symbol" w:cs="Symbol" w:hint="default"/>
      </w:rPr>
    </w:lvl>
    <w:lvl w:ilvl="4" w:tplc="8B221C50">
      <w:start w:val="1"/>
      <w:numFmt w:val="bullet"/>
      <w:lvlText w:val="o"/>
      <w:lvlJc w:val="left"/>
      <w:pPr>
        <w:ind w:left="4298" w:hanging="360"/>
      </w:pPr>
      <w:rPr>
        <w:rFonts w:ascii="Courier New" w:eastAsia="Courier New" w:hAnsi="Courier New" w:cs="Courier New" w:hint="default"/>
      </w:rPr>
    </w:lvl>
    <w:lvl w:ilvl="5" w:tplc="9A6A5DB6">
      <w:start w:val="1"/>
      <w:numFmt w:val="bullet"/>
      <w:lvlText w:val="§"/>
      <w:lvlJc w:val="left"/>
      <w:pPr>
        <w:ind w:left="5018" w:hanging="360"/>
      </w:pPr>
      <w:rPr>
        <w:rFonts w:ascii="Wingdings" w:eastAsia="Wingdings" w:hAnsi="Wingdings" w:cs="Wingdings" w:hint="default"/>
      </w:rPr>
    </w:lvl>
    <w:lvl w:ilvl="6" w:tplc="656EC11C">
      <w:start w:val="1"/>
      <w:numFmt w:val="bullet"/>
      <w:lvlText w:val="·"/>
      <w:lvlJc w:val="left"/>
      <w:pPr>
        <w:ind w:left="5738" w:hanging="360"/>
      </w:pPr>
      <w:rPr>
        <w:rFonts w:ascii="Symbol" w:eastAsia="Symbol" w:hAnsi="Symbol" w:cs="Symbol" w:hint="default"/>
      </w:rPr>
    </w:lvl>
    <w:lvl w:ilvl="7" w:tplc="FF82E0D2">
      <w:start w:val="1"/>
      <w:numFmt w:val="bullet"/>
      <w:lvlText w:val="o"/>
      <w:lvlJc w:val="left"/>
      <w:pPr>
        <w:ind w:left="6458" w:hanging="360"/>
      </w:pPr>
      <w:rPr>
        <w:rFonts w:ascii="Courier New" w:eastAsia="Courier New" w:hAnsi="Courier New" w:cs="Courier New" w:hint="default"/>
      </w:rPr>
    </w:lvl>
    <w:lvl w:ilvl="8" w:tplc="8D5226E6">
      <w:start w:val="1"/>
      <w:numFmt w:val="bullet"/>
      <w:lvlText w:val="§"/>
      <w:lvlJc w:val="left"/>
      <w:pPr>
        <w:ind w:left="7178" w:hanging="360"/>
      </w:pPr>
      <w:rPr>
        <w:rFonts w:ascii="Wingdings" w:eastAsia="Wingdings" w:hAnsi="Wingdings" w:cs="Wingdings" w:hint="default"/>
      </w:rPr>
    </w:lvl>
  </w:abstractNum>
  <w:abstractNum w:abstractNumId="1" w15:restartNumberingAfterBreak="0">
    <w:nsid w:val="107924E8"/>
    <w:multiLevelType w:val="hybridMultilevel"/>
    <w:tmpl w:val="01DA5078"/>
    <w:lvl w:ilvl="0" w:tplc="7A7C80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7758C8B4">
      <w:start w:val="1"/>
      <w:numFmt w:val="lowerLetter"/>
      <w:lvlText w:val="%2."/>
      <w:lvlJc w:val="left"/>
      <w:pPr>
        <w:ind w:left="1789" w:hanging="360"/>
      </w:pPr>
    </w:lvl>
    <w:lvl w:ilvl="2" w:tplc="48BEF146">
      <w:start w:val="1"/>
      <w:numFmt w:val="lowerRoman"/>
      <w:lvlText w:val="%3."/>
      <w:lvlJc w:val="right"/>
      <w:pPr>
        <w:ind w:left="2509" w:hanging="180"/>
      </w:pPr>
    </w:lvl>
    <w:lvl w:ilvl="3" w:tplc="D018D01E">
      <w:start w:val="1"/>
      <w:numFmt w:val="decimal"/>
      <w:lvlText w:val="%4."/>
      <w:lvlJc w:val="left"/>
      <w:pPr>
        <w:ind w:left="3229" w:hanging="360"/>
      </w:pPr>
    </w:lvl>
    <w:lvl w:ilvl="4" w:tplc="CF104B6A">
      <w:start w:val="1"/>
      <w:numFmt w:val="lowerLetter"/>
      <w:lvlText w:val="%5."/>
      <w:lvlJc w:val="left"/>
      <w:pPr>
        <w:ind w:left="3949" w:hanging="360"/>
      </w:pPr>
    </w:lvl>
    <w:lvl w:ilvl="5" w:tplc="AFAAAFD6">
      <w:start w:val="1"/>
      <w:numFmt w:val="lowerRoman"/>
      <w:lvlText w:val="%6."/>
      <w:lvlJc w:val="right"/>
      <w:pPr>
        <w:ind w:left="4669" w:hanging="180"/>
      </w:pPr>
    </w:lvl>
    <w:lvl w:ilvl="6" w:tplc="41E2CED4">
      <w:start w:val="1"/>
      <w:numFmt w:val="decimal"/>
      <w:lvlText w:val="%7."/>
      <w:lvlJc w:val="left"/>
      <w:pPr>
        <w:ind w:left="5389" w:hanging="360"/>
      </w:pPr>
    </w:lvl>
    <w:lvl w:ilvl="7" w:tplc="3DFC6ABA">
      <w:start w:val="1"/>
      <w:numFmt w:val="lowerLetter"/>
      <w:lvlText w:val="%8."/>
      <w:lvlJc w:val="left"/>
      <w:pPr>
        <w:ind w:left="6109" w:hanging="360"/>
      </w:pPr>
    </w:lvl>
    <w:lvl w:ilvl="8" w:tplc="C75C97CA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8413162"/>
    <w:multiLevelType w:val="hybridMultilevel"/>
    <w:tmpl w:val="9006AB74"/>
    <w:lvl w:ilvl="0" w:tplc="038EA7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6D2B48E">
      <w:start w:val="1"/>
      <w:numFmt w:val="lowerLetter"/>
      <w:lvlText w:val="%2."/>
      <w:lvlJc w:val="left"/>
      <w:pPr>
        <w:ind w:left="1440" w:hanging="360"/>
      </w:pPr>
    </w:lvl>
    <w:lvl w:ilvl="2" w:tplc="1BD40A68">
      <w:start w:val="1"/>
      <w:numFmt w:val="lowerRoman"/>
      <w:lvlText w:val="%3."/>
      <w:lvlJc w:val="right"/>
      <w:pPr>
        <w:ind w:left="2160" w:hanging="180"/>
      </w:pPr>
    </w:lvl>
    <w:lvl w:ilvl="3" w:tplc="859EA6AE">
      <w:start w:val="1"/>
      <w:numFmt w:val="decimal"/>
      <w:lvlText w:val="%4."/>
      <w:lvlJc w:val="left"/>
      <w:pPr>
        <w:ind w:left="2880" w:hanging="360"/>
      </w:pPr>
    </w:lvl>
    <w:lvl w:ilvl="4" w:tplc="F4F0414E">
      <w:start w:val="1"/>
      <w:numFmt w:val="lowerLetter"/>
      <w:lvlText w:val="%5."/>
      <w:lvlJc w:val="left"/>
      <w:pPr>
        <w:ind w:left="3600" w:hanging="360"/>
      </w:pPr>
    </w:lvl>
    <w:lvl w:ilvl="5" w:tplc="97C606B0">
      <w:start w:val="1"/>
      <w:numFmt w:val="lowerRoman"/>
      <w:lvlText w:val="%6."/>
      <w:lvlJc w:val="right"/>
      <w:pPr>
        <w:ind w:left="4320" w:hanging="180"/>
      </w:pPr>
    </w:lvl>
    <w:lvl w:ilvl="6" w:tplc="D29E8B8C">
      <w:start w:val="1"/>
      <w:numFmt w:val="decimal"/>
      <w:lvlText w:val="%7."/>
      <w:lvlJc w:val="left"/>
      <w:pPr>
        <w:ind w:left="5040" w:hanging="360"/>
      </w:pPr>
    </w:lvl>
    <w:lvl w:ilvl="7" w:tplc="2618DA18">
      <w:start w:val="1"/>
      <w:numFmt w:val="lowerLetter"/>
      <w:lvlText w:val="%8."/>
      <w:lvlJc w:val="left"/>
      <w:pPr>
        <w:ind w:left="5760" w:hanging="360"/>
      </w:pPr>
    </w:lvl>
    <w:lvl w:ilvl="8" w:tplc="4A68025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7921E7"/>
    <w:multiLevelType w:val="hybridMultilevel"/>
    <w:tmpl w:val="8D30F72E"/>
    <w:lvl w:ilvl="0" w:tplc="454256A2">
      <w:start w:val="1"/>
      <w:numFmt w:val="bullet"/>
      <w:lvlText w:val="–"/>
      <w:lvlJc w:val="left"/>
      <w:pPr>
        <w:ind w:left="2126" w:hanging="360"/>
      </w:pPr>
      <w:rPr>
        <w:rFonts w:ascii="Arial" w:eastAsia="Arial" w:hAnsi="Arial" w:cs="Arial" w:hint="default"/>
      </w:rPr>
    </w:lvl>
    <w:lvl w:ilvl="1" w:tplc="EF7C11C6">
      <w:start w:val="1"/>
      <w:numFmt w:val="bullet"/>
      <w:lvlText w:val="o"/>
      <w:lvlJc w:val="left"/>
      <w:pPr>
        <w:ind w:left="2846" w:hanging="360"/>
      </w:pPr>
      <w:rPr>
        <w:rFonts w:ascii="Courier New" w:eastAsia="Courier New" w:hAnsi="Courier New" w:cs="Courier New" w:hint="default"/>
      </w:rPr>
    </w:lvl>
    <w:lvl w:ilvl="2" w:tplc="38C8E24A">
      <w:start w:val="1"/>
      <w:numFmt w:val="bullet"/>
      <w:lvlText w:val="§"/>
      <w:lvlJc w:val="left"/>
      <w:pPr>
        <w:ind w:left="3566" w:hanging="360"/>
      </w:pPr>
      <w:rPr>
        <w:rFonts w:ascii="Wingdings" w:eastAsia="Wingdings" w:hAnsi="Wingdings" w:cs="Wingdings" w:hint="default"/>
      </w:rPr>
    </w:lvl>
    <w:lvl w:ilvl="3" w:tplc="E08E5024">
      <w:start w:val="1"/>
      <w:numFmt w:val="bullet"/>
      <w:lvlText w:val="·"/>
      <w:lvlJc w:val="left"/>
      <w:pPr>
        <w:ind w:left="4286" w:hanging="360"/>
      </w:pPr>
      <w:rPr>
        <w:rFonts w:ascii="Symbol" w:eastAsia="Symbol" w:hAnsi="Symbol" w:cs="Symbol" w:hint="default"/>
      </w:rPr>
    </w:lvl>
    <w:lvl w:ilvl="4" w:tplc="C422E012">
      <w:start w:val="1"/>
      <w:numFmt w:val="bullet"/>
      <w:lvlText w:val="o"/>
      <w:lvlJc w:val="left"/>
      <w:pPr>
        <w:ind w:left="5006" w:hanging="360"/>
      </w:pPr>
      <w:rPr>
        <w:rFonts w:ascii="Courier New" w:eastAsia="Courier New" w:hAnsi="Courier New" w:cs="Courier New" w:hint="default"/>
      </w:rPr>
    </w:lvl>
    <w:lvl w:ilvl="5" w:tplc="A2FE7506">
      <w:start w:val="1"/>
      <w:numFmt w:val="bullet"/>
      <w:lvlText w:val="§"/>
      <w:lvlJc w:val="left"/>
      <w:pPr>
        <w:ind w:left="5726" w:hanging="360"/>
      </w:pPr>
      <w:rPr>
        <w:rFonts w:ascii="Wingdings" w:eastAsia="Wingdings" w:hAnsi="Wingdings" w:cs="Wingdings" w:hint="default"/>
      </w:rPr>
    </w:lvl>
    <w:lvl w:ilvl="6" w:tplc="DC6A8D6A">
      <w:start w:val="1"/>
      <w:numFmt w:val="bullet"/>
      <w:lvlText w:val="·"/>
      <w:lvlJc w:val="left"/>
      <w:pPr>
        <w:ind w:left="6446" w:hanging="360"/>
      </w:pPr>
      <w:rPr>
        <w:rFonts w:ascii="Symbol" w:eastAsia="Symbol" w:hAnsi="Symbol" w:cs="Symbol" w:hint="default"/>
      </w:rPr>
    </w:lvl>
    <w:lvl w:ilvl="7" w:tplc="A93AAB26">
      <w:start w:val="1"/>
      <w:numFmt w:val="bullet"/>
      <w:lvlText w:val="o"/>
      <w:lvlJc w:val="left"/>
      <w:pPr>
        <w:ind w:left="7166" w:hanging="360"/>
      </w:pPr>
      <w:rPr>
        <w:rFonts w:ascii="Courier New" w:eastAsia="Courier New" w:hAnsi="Courier New" w:cs="Courier New" w:hint="default"/>
      </w:rPr>
    </w:lvl>
    <w:lvl w:ilvl="8" w:tplc="7548C0EA">
      <w:start w:val="1"/>
      <w:numFmt w:val="bullet"/>
      <w:lvlText w:val="§"/>
      <w:lvlJc w:val="left"/>
      <w:pPr>
        <w:ind w:left="7886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5D30373B"/>
    <w:multiLevelType w:val="hybridMultilevel"/>
    <w:tmpl w:val="17DEE6A6"/>
    <w:lvl w:ilvl="0" w:tplc="0BE839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2B42E56A">
      <w:start w:val="1"/>
      <w:numFmt w:val="lowerLetter"/>
      <w:lvlText w:val="%2."/>
      <w:lvlJc w:val="left"/>
      <w:pPr>
        <w:ind w:left="1789" w:hanging="360"/>
      </w:pPr>
    </w:lvl>
    <w:lvl w:ilvl="2" w:tplc="93A8242C">
      <w:start w:val="1"/>
      <w:numFmt w:val="lowerRoman"/>
      <w:lvlText w:val="%3."/>
      <w:lvlJc w:val="right"/>
      <w:pPr>
        <w:ind w:left="2509" w:hanging="180"/>
      </w:pPr>
    </w:lvl>
    <w:lvl w:ilvl="3" w:tplc="06D0C4A4">
      <w:start w:val="1"/>
      <w:numFmt w:val="decimal"/>
      <w:lvlText w:val="%4."/>
      <w:lvlJc w:val="left"/>
      <w:pPr>
        <w:ind w:left="3229" w:hanging="360"/>
      </w:pPr>
    </w:lvl>
    <w:lvl w:ilvl="4" w:tplc="554C9ABE">
      <w:start w:val="1"/>
      <w:numFmt w:val="lowerLetter"/>
      <w:lvlText w:val="%5."/>
      <w:lvlJc w:val="left"/>
      <w:pPr>
        <w:ind w:left="3949" w:hanging="360"/>
      </w:pPr>
    </w:lvl>
    <w:lvl w:ilvl="5" w:tplc="FF76F41E">
      <w:start w:val="1"/>
      <w:numFmt w:val="lowerRoman"/>
      <w:lvlText w:val="%6."/>
      <w:lvlJc w:val="right"/>
      <w:pPr>
        <w:ind w:left="4669" w:hanging="180"/>
      </w:pPr>
    </w:lvl>
    <w:lvl w:ilvl="6" w:tplc="EBA25792">
      <w:start w:val="1"/>
      <w:numFmt w:val="decimal"/>
      <w:lvlText w:val="%7."/>
      <w:lvlJc w:val="left"/>
      <w:pPr>
        <w:ind w:left="5389" w:hanging="360"/>
      </w:pPr>
    </w:lvl>
    <w:lvl w:ilvl="7" w:tplc="CEFEA5B4">
      <w:start w:val="1"/>
      <w:numFmt w:val="lowerLetter"/>
      <w:lvlText w:val="%8."/>
      <w:lvlJc w:val="left"/>
      <w:pPr>
        <w:ind w:left="6109" w:hanging="360"/>
      </w:pPr>
    </w:lvl>
    <w:lvl w:ilvl="8" w:tplc="7A76A3C4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5B5177C"/>
    <w:multiLevelType w:val="hybridMultilevel"/>
    <w:tmpl w:val="4072B838"/>
    <w:lvl w:ilvl="0" w:tplc="C2F4ACA4">
      <w:start w:val="1"/>
      <w:numFmt w:val="bullet"/>
      <w:lvlText w:val="–"/>
      <w:lvlJc w:val="left"/>
      <w:pPr>
        <w:ind w:left="1843" w:hanging="360"/>
      </w:pPr>
      <w:rPr>
        <w:rFonts w:ascii="Arial" w:eastAsia="Arial" w:hAnsi="Arial" w:cs="Arial" w:hint="default"/>
      </w:rPr>
    </w:lvl>
    <w:lvl w:ilvl="1" w:tplc="A01CF064">
      <w:start w:val="1"/>
      <w:numFmt w:val="bullet"/>
      <w:lvlText w:val="o"/>
      <w:lvlJc w:val="left"/>
      <w:pPr>
        <w:ind w:left="2563" w:hanging="360"/>
      </w:pPr>
      <w:rPr>
        <w:rFonts w:ascii="Courier New" w:eastAsia="Courier New" w:hAnsi="Courier New" w:cs="Courier New" w:hint="default"/>
      </w:rPr>
    </w:lvl>
    <w:lvl w:ilvl="2" w:tplc="AF221EA8">
      <w:start w:val="1"/>
      <w:numFmt w:val="bullet"/>
      <w:lvlText w:val="§"/>
      <w:lvlJc w:val="left"/>
      <w:pPr>
        <w:ind w:left="3283" w:hanging="360"/>
      </w:pPr>
      <w:rPr>
        <w:rFonts w:ascii="Wingdings" w:eastAsia="Wingdings" w:hAnsi="Wingdings" w:cs="Wingdings" w:hint="default"/>
      </w:rPr>
    </w:lvl>
    <w:lvl w:ilvl="3" w:tplc="5F4E9C96">
      <w:start w:val="1"/>
      <w:numFmt w:val="bullet"/>
      <w:lvlText w:val="·"/>
      <w:lvlJc w:val="left"/>
      <w:pPr>
        <w:ind w:left="4003" w:hanging="360"/>
      </w:pPr>
      <w:rPr>
        <w:rFonts w:ascii="Symbol" w:eastAsia="Symbol" w:hAnsi="Symbol" w:cs="Symbol" w:hint="default"/>
      </w:rPr>
    </w:lvl>
    <w:lvl w:ilvl="4" w:tplc="93408448">
      <w:start w:val="1"/>
      <w:numFmt w:val="bullet"/>
      <w:lvlText w:val="o"/>
      <w:lvlJc w:val="left"/>
      <w:pPr>
        <w:ind w:left="4723" w:hanging="360"/>
      </w:pPr>
      <w:rPr>
        <w:rFonts w:ascii="Courier New" w:eastAsia="Courier New" w:hAnsi="Courier New" w:cs="Courier New" w:hint="default"/>
      </w:rPr>
    </w:lvl>
    <w:lvl w:ilvl="5" w:tplc="4AAE527C">
      <w:start w:val="1"/>
      <w:numFmt w:val="bullet"/>
      <w:lvlText w:val="§"/>
      <w:lvlJc w:val="left"/>
      <w:pPr>
        <w:ind w:left="5443" w:hanging="360"/>
      </w:pPr>
      <w:rPr>
        <w:rFonts w:ascii="Wingdings" w:eastAsia="Wingdings" w:hAnsi="Wingdings" w:cs="Wingdings" w:hint="default"/>
      </w:rPr>
    </w:lvl>
    <w:lvl w:ilvl="6" w:tplc="D9EA7646">
      <w:start w:val="1"/>
      <w:numFmt w:val="bullet"/>
      <w:lvlText w:val="·"/>
      <w:lvlJc w:val="left"/>
      <w:pPr>
        <w:ind w:left="6163" w:hanging="360"/>
      </w:pPr>
      <w:rPr>
        <w:rFonts w:ascii="Symbol" w:eastAsia="Symbol" w:hAnsi="Symbol" w:cs="Symbol" w:hint="default"/>
      </w:rPr>
    </w:lvl>
    <w:lvl w:ilvl="7" w:tplc="F15292DC">
      <w:start w:val="1"/>
      <w:numFmt w:val="bullet"/>
      <w:lvlText w:val="o"/>
      <w:lvlJc w:val="left"/>
      <w:pPr>
        <w:ind w:left="6883" w:hanging="360"/>
      </w:pPr>
      <w:rPr>
        <w:rFonts w:ascii="Courier New" w:eastAsia="Courier New" w:hAnsi="Courier New" w:cs="Courier New" w:hint="default"/>
      </w:rPr>
    </w:lvl>
    <w:lvl w:ilvl="8" w:tplc="6B762112">
      <w:start w:val="1"/>
      <w:numFmt w:val="bullet"/>
      <w:lvlText w:val="§"/>
      <w:lvlJc w:val="left"/>
      <w:pPr>
        <w:ind w:left="7603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7BF0053D"/>
    <w:multiLevelType w:val="hybridMultilevel"/>
    <w:tmpl w:val="5AB6657E"/>
    <w:lvl w:ilvl="0" w:tplc="ECCC0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92F2DAB6">
      <w:start w:val="1"/>
      <w:numFmt w:val="lowerLetter"/>
      <w:lvlText w:val="%2."/>
      <w:lvlJc w:val="left"/>
      <w:pPr>
        <w:ind w:left="1789" w:hanging="360"/>
      </w:pPr>
    </w:lvl>
    <w:lvl w:ilvl="2" w:tplc="F7DC45F0">
      <w:start w:val="1"/>
      <w:numFmt w:val="lowerRoman"/>
      <w:lvlText w:val="%3."/>
      <w:lvlJc w:val="right"/>
      <w:pPr>
        <w:ind w:left="2509" w:hanging="180"/>
      </w:pPr>
    </w:lvl>
    <w:lvl w:ilvl="3" w:tplc="8E280854">
      <w:start w:val="1"/>
      <w:numFmt w:val="decimal"/>
      <w:lvlText w:val="%4."/>
      <w:lvlJc w:val="left"/>
      <w:pPr>
        <w:ind w:left="3229" w:hanging="360"/>
      </w:pPr>
    </w:lvl>
    <w:lvl w:ilvl="4" w:tplc="BE30E752">
      <w:start w:val="1"/>
      <w:numFmt w:val="lowerLetter"/>
      <w:lvlText w:val="%5."/>
      <w:lvlJc w:val="left"/>
      <w:pPr>
        <w:ind w:left="3949" w:hanging="360"/>
      </w:pPr>
    </w:lvl>
    <w:lvl w:ilvl="5" w:tplc="B9D4881C">
      <w:start w:val="1"/>
      <w:numFmt w:val="lowerRoman"/>
      <w:lvlText w:val="%6."/>
      <w:lvlJc w:val="right"/>
      <w:pPr>
        <w:ind w:left="4669" w:hanging="180"/>
      </w:pPr>
    </w:lvl>
    <w:lvl w:ilvl="6" w:tplc="3DBE25FE">
      <w:start w:val="1"/>
      <w:numFmt w:val="decimal"/>
      <w:lvlText w:val="%7."/>
      <w:lvlJc w:val="left"/>
      <w:pPr>
        <w:ind w:left="5389" w:hanging="360"/>
      </w:pPr>
    </w:lvl>
    <w:lvl w:ilvl="7" w:tplc="E49E0BDE">
      <w:start w:val="1"/>
      <w:numFmt w:val="lowerLetter"/>
      <w:lvlText w:val="%8."/>
      <w:lvlJc w:val="left"/>
      <w:pPr>
        <w:ind w:left="6109" w:hanging="360"/>
      </w:pPr>
    </w:lvl>
    <w:lvl w:ilvl="8" w:tplc="A7DC1696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2"/>
  </w:num>
  <w:num w:numId="5">
    <w:abstractNumId w:val="5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211F"/>
    <w:rsid w:val="00716A3F"/>
    <w:rsid w:val="008F211F"/>
    <w:rsid w:val="00AA0E41"/>
    <w:rsid w:val="00E35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773E1A-14FF-4253-8A3E-145D50599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Заголовок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header"/>
    <w:basedOn w:val="a"/>
    <w:link w:val="af5"/>
    <w:uiPriority w:val="99"/>
    <w:unhideWhenUsed/>
    <w:pPr>
      <w:tabs>
        <w:tab w:val="center" w:pos="4677"/>
        <w:tab w:val="right" w:pos="9355"/>
      </w:tabs>
      <w:spacing w:before="0" w:after="0"/>
    </w:pPr>
  </w:style>
  <w:style w:type="character" w:customStyle="1" w:styleId="af5">
    <w:name w:val="Верхний колонтитул Знак"/>
    <w:basedOn w:val="a0"/>
    <w:link w:val="af4"/>
    <w:uiPriority w:val="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Balloon Text"/>
    <w:basedOn w:val="a"/>
    <w:link w:val="af8"/>
    <w:uiPriority w:val="99"/>
    <w:semiHidden/>
    <w:unhideWhenUsed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9">
    <w:name w:val="footer"/>
    <w:basedOn w:val="a"/>
    <w:link w:val="afa"/>
    <w:uiPriority w:val="99"/>
    <w:unhideWhenUsed/>
    <w:pPr>
      <w:tabs>
        <w:tab w:val="center" w:pos="4677"/>
        <w:tab w:val="right" w:pos="9355"/>
      </w:tabs>
      <w:spacing w:before="0" w:after="0"/>
    </w:pPr>
  </w:style>
  <w:style w:type="character" w:customStyle="1" w:styleId="afa">
    <w:name w:val="Нижний колонтитул Знак"/>
    <w:basedOn w:val="a0"/>
    <w:link w:val="af9"/>
    <w:uiPriority w:val="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No Spacing"/>
    <w:basedOn w:val="a"/>
    <w:uiPriority w:val="1"/>
    <w:qFormat/>
    <w:pPr>
      <w:spacing w:before="0" w:after="0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3888D-C6A3-47DC-8C89-D1C656FA52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2262</Words>
  <Characters>12900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15132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Акифьева Виктория Сергеевна</dc:creator>
  <cp:keywords/>
  <dc:description/>
  <cp:lastModifiedBy>Орлова Ольга Юрьевна</cp:lastModifiedBy>
  <cp:revision>2</cp:revision>
  <cp:lastPrinted>2025-10-22T02:05:00Z</cp:lastPrinted>
  <dcterms:created xsi:type="dcterms:W3CDTF">2025-10-22T02:13:00Z</dcterms:created>
  <dcterms:modified xsi:type="dcterms:W3CDTF">2025-10-22T02:13:00Z</dcterms:modified>
</cp:coreProperties>
</file>